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AA" w:rsidRPr="00AC49E7" w:rsidRDefault="00E459AA" w:rsidP="00E459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49E7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ข้อมูลประกอบการพิจารณาจัดตั้งสถาบันพัฒนาฝีมือแรงงานมุกดาหาร</w:t>
      </w:r>
    </w:p>
    <w:p w:rsidR="00AC49E7" w:rsidRPr="00721595" w:rsidRDefault="00AC49E7" w:rsidP="00AC49E7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แห่งเดิม และที่ขอเพิ่มใหม่)</w:t>
      </w:r>
    </w:p>
    <w:p w:rsidR="00AC49E7" w:rsidRPr="00721595" w:rsidRDefault="00AC49E7" w:rsidP="00AC49E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ในพื้นที่ </w:t>
      </w:r>
    </w:p>
    <w:p w:rsidR="00E459AA" w:rsidRPr="00AC49E7" w:rsidRDefault="00E459AA" w:rsidP="00E459AA">
      <w:pPr>
        <w:tabs>
          <w:tab w:val="left" w:pos="101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ab/>
      </w:r>
      <w:r w:rsidRPr="00AC49E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C49E7">
        <w:rPr>
          <w:rFonts w:ascii="TH SarabunPSK" w:hAnsi="TH SarabunPSK" w:cs="TH SarabunPSK"/>
          <w:sz w:val="32"/>
          <w:szCs w:val="32"/>
          <w:cs/>
        </w:rPr>
        <w:t>สำนักงานพัฒนาฝีมือแรงงานมุกดาหารมีกระบวนการฝึกอบรมที่สอดคล้องกับความต้องการของพื้นที่ตั้งแต่ต้นน้ำถึงปลายน้ำ ได้แก่ การฝึกอบรม การทดสอบมาตรฐานฝีมือแรงงานแห่งชาติ และการรับรองความรู้ความสามารถ (</w:t>
      </w:r>
      <w:r w:rsidRPr="00AC49E7">
        <w:rPr>
          <w:rFonts w:ascii="TH SarabunPSK" w:hAnsi="TH SarabunPSK" w:cs="TH SarabunPSK"/>
          <w:sz w:val="32"/>
          <w:szCs w:val="32"/>
        </w:rPr>
        <w:t>License)</w:t>
      </w:r>
      <w:r w:rsidRPr="00AC49E7">
        <w:rPr>
          <w:rFonts w:ascii="TH SarabunPSK" w:hAnsi="TH SarabunPSK" w:cs="TH SarabunPSK"/>
          <w:sz w:val="32"/>
          <w:szCs w:val="32"/>
          <w:cs/>
        </w:rPr>
        <w:t xml:space="preserve"> การพัฒนาด้านความรู้ ทักษะ และทัศนคติ ซึ่งเน้นการปฏิบัติ สามารถนำไปใช้ประโยชน์ในการประกอบอาชีพ โดยมีหลักสูตรที่หลากหลาย มีเป้าหมายที่ชัดเจน และมีการติดตามผลการมีงานทำทุกโครงการภายหลังจากการฝึกอบรม 3 เดือน </w:t>
      </w:r>
      <w:r w:rsidRPr="00AC49E7">
        <w:rPr>
          <w:rFonts w:ascii="TH SarabunPSK" w:eastAsia="Times New Roman" w:hAnsi="TH SarabunPSK" w:cs="TH SarabunPSK"/>
          <w:sz w:val="32"/>
          <w:szCs w:val="32"/>
          <w:cs/>
        </w:rPr>
        <w:t>เนื่องจากอยู่ในเส้นทางระเบียงเศรษฐกิจแนวตะวันออก-ตะวันตก (</w:t>
      </w:r>
      <w:r w:rsidRPr="00AC49E7">
        <w:rPr>
          <w:rFonts w:ascii="TH SarabunPSK" w:eastAsia="Times New Roman" w:hAnsi="TH SarabunPSK" w:cs="TH SarabunPSK"/>
          <w:sz w:val="32"/>
          <w:szCs w:val="32"/>
        </w:rPr>
        <w:t>East-West Economics Corridor : EWEC)</w:t>
      </w:r>
      <w:r w:rsidRPr="00AC49E7">
        <w:rPr>
          <w:rFonts w:ascii="TH SarabunPSK" w:eastAsia="Times New Roman" w:hAnsi="TH SarabunPSK" w:cs="TH SarabunPSK"/>
          <w:sz w:val="32"/>
          <w:szCs w:val="32"/>
          <w:cs/>
        </w:rPr>
        <w:t xml:space="preserve"> ได้จัดทำ</w:t>
      </w:r>
      <w:r w:rsidRPr="00AC49E7">
        <w:rPr>
          <w:rFonts w:ascii="TH SarabunPSK" w:hAnsi="TH SarabunPSK" w:cs="TH SarabunPSK"/>
          <w:sz w:val="32"/>
          <w:szCs w:val="32"/>
          <w:cs/>
        </w:rPr>
        <w:t>โครงการ "การพัฒนาทักษะฝีมือด้านการควบคุมกระบวนการผลิตด้วยระบบอัตโนมัติ" โล</w:t>
      </w:r>
      <w:r w:rsidRPr="00AC49E7">
        <w:rPr>
          <w:rFonts w:ascii="TH SarabunPSK" w:eastAsia="Times New Roman" w:hAnsi="TH SarabunPSK" w:cs="TH SarabunPSK"/>
          <w:sz w:val="32"/>
          <w:szCs w:val="32"/>
          <w:cs/>
        </w:rPr>
        <w:t>จิสติกส์เพื่อรองรับการขนสะพานมิตรภาพไทย-ลาวแห่งที่ 2 (ท่าเรือบก) ซึ่งเป็นประตูเชื่อมโยงอาเซียน โรงงานแปรรูปสินค้าเกษตรที่สำคัญของจังหวัด เช่น อ้อย แป้งมัน และยางพารา เมืองอัจฉริยะมุกดาหาร ดำเนินการ</w:t>
      </w:r>
      <w:r w:rsidRPr="00AC49E7">
        <w:rPr>
          <w:rFonts w:ascii="TH SarabunPSK" w:hAnsi="TH SarabunPSK" w:cs="TH SarabunPSK"/>
          <w:sz w:val="32"/>
          <w:szCs w:val="32"/>
          <w:cs/>
        </w:rPr>
        <w:t>พัฒนาทักษะฝีมือด้านการควบคุมกระบวนการผลิตด้วยระบบอัตโนมัติผ่านเทคโนโลยีชั้นสูง</w:t>
      </w:r>
    </w:p>
    <w:p w:rsidR="00E459AA" w:rsidRPr="00AC49E7" w:rsidRDefault="00E459AA" w:rsidP="00AC49E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49E7">
        <w:rPr>
          <w:rFonts w:ascii="TH SarabunPSK" w:hAnsi="TH SarabunPSK" w:cs="TH SarabunPSK"/>
          <w:b/>
          <w:bCs/>
          <w:sz w:val="32"/>
          <w:szCs w:val="32"/>
          <w:cs/>
        </w:rPr>
        <w:t>(2)  บทบาทและทิศทางการดำเนินงานของกรมในอนาคต</w:t>
      </w:r>
    </w:p>
    <w:p w:rsidR="00E459AA" w:rsidRPr="00AC49E7" w:rsidRDefault="00E459AA" w:rsidP="00E459AA">
      <w:pPr>
        <w:spacing w:after="0" w:line="240" w:lineRule="auto"/>
        <w:ind w:left="72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>(2.1) การเป็นผู้ขับเคลื่อนนโยบาย (</w:t>
      </w:r>
      <w:r w:rsidRPr="00AC49E7">
        <w:rPr>
          <w:rFonts w:ascii="TH SarabunPSK" w:hAnsi="TH SarabunPSK" w:cs="TH SarabunPSK"/>
          <w:sz w:val="32"/>
          <w:szCs w:val="32"/>
        </w:rPr>
        <w:t>Policy Advisor)</w:t>
      </w:r>
      <w:r w:rsidRPr="00AC49E7">
        <w:rPr>
          <w:rFonts w:ascii="TH SarabunPSK" w:hAnsi="TH SarabunPSK" w:cs="TH SarabunPSK"/>
          <w:sz w:val="32"/>
          <w:szCs w:val="32"/>
          <w:cs/>
        </w:rPr>
        <w:t xml:space="preserve"> โดยการจัดทำแผนพัฒนากำลังแรงงาน</w:t>
      </w:r>
    </w:p>
    <w:p w:rsidR="00E459AA" w:rsidRPr="00AC49E7" w:rsidRDefault="00E459AA" w:rsidP="00E459A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>จังหวัด ภายใต้คณะอนุกรรมการพัฒนาแรงงานและประสานงานการฝึกอาชีพจังหวัด (กพร.ปจ.)</w:t>
      </w:r>
      <w:r w:rsidRPr="00AC49E7">
        <w:rPr>
          <w:rFonts w:ascii="TH SarabunPSK" w:hAnsi="TH SarabunPSK" w:cs="TH SarabunPSK"/>
          <w:sz w:val="32"/>
          <w:szCs w:val="32"/>
        </w:rPr>
        <w:t xml:space="preserve"> </w:t>
      </w:r>
    </w:p>
    <w:p w:rsidR="00E459AA" w:rsidRPr="00AC49E7" w:rsidRDefault="00E459AA" w:rsidP="00E459AA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 xml:space="preserve">     (2.2) การรักษา การบังคับใช้กฎหมาย และการอนุมัติ อนุญาต (</w:t>
      </w:r>
      <w:r w:rsidRPr="00AC49E7">
        <w:rPr>
          <w:rFonts w:ascii="TH SarabunPSK" w:hAnsi="TH SarabunPSK" w:cs="TH SarabunPSK"/>
          <w:sz w:val="32"/>
          <w:szCs w:val="32"/>
        </w:rPr>
        <w:t xml:space="preserve">Regulator) </w:t>
      </w:r>
    </w:p>
    <w:p w:rsidR="00E459AA" w:rsidRPr="00AC49E7" w:rsidRDefault="00E459AA" w:rsidP="00E459AA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C49E7">
        <w:rPr>
          <w:rFonts w:ascii="TH SarabunPSK" w:hAnsi="TH SarabunPSK" w:cs="TH SarabunPSK"/>
          <w:sz w:val="32"/>
          <w:szCs w:val="32"/>
        </w:rPr>
        <w:t xml:space="preserve"> </w:t>
      </w:r>
      <w:r w:rsidRPr="00AC49E7">
        <w:rPr>
          <w:rFonts w:ascii="TH SarabunPSK" w:hAnsi="TH SarabunPSK" w:cs="TH SarabunPSK"/>
          <w:sz w:val="32"/>
          <w:szCs w:val="32"/>
          <w:cs/>
        </w:rPr>
        <w:t>(</w:t>
      </w:r>
      <w:r w:rsidRPr="00AC49E7">
        <w:rPr>
          <w:rFonts w:ascii="TH SarabunPSK" w:hAnsi="TH SarabunPSK" w:cs="TH SarabunPSK"/>
          <w:sz w:val="32"/>
          <w:szCs w:val="32"/>
        </w:rPr>
        <w:t>2</w:t>
      </w:r>
      <w:r w:rsidRPr="00AC49E7">
        <w:rPr>
          <w:rFonts w:ascii="TH SarabunPSK" w:hAnsi="TH SarabunPSK" w:cs="TH SarabunPSK"/>
          <w:sz w:val="32"/>
          <w:szCs w:val="32"/>
          <w:cs/>
        </w:rPr>
        <w:t>.3) การส่งเสริมและการถ่ายทอดองค์ความรู้ (</w:t>
      </w:r>
      <w:r w:rsidRPr="00AC49E7">
        <w:rPr>
          <w:rFonts w:ascii="TH SarabunPSK" w:hAnsi="TH SarabunPSK" w:cs="TH SarabunPSK"/>
          <w:sz w:val="32"/>
          <w:szCs w:val="32"/>
        </w:rPr>
        <w:t xml:space="preserve">Facilitator) </w:t>
      </w:r>
    </w:p>
    <w:p w:rsidR="00E459AA" w:rsidRPr="00AC49E7" w:rsidRDefault="00E459AA" w:rsidP="00E459AA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 xml:space="preserve">     (2.4) การลดบทบาทการเป็นผู้ดำเนินการ (</w:t>
      </w:r>
      <w:r w:rsidRPr="00AC49E7">
        <w:rPr>
          <w:rFonts w:ascii="TH SarabunPSK" w:hAnsi="TH SarabunPSK" w:cs="TH SarabunPSK"/>
          <w:sz w:val="32"/>
          <w:szCs w:val="32"/>
        </w:rPr>
        <w:t>Operator)</w:t>
      </w:r>
      <w:r w:rsidRPr="00AC49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459AA" w:rsidRPr="00AC49E7" w:rsidRDefault="00E459AA" w:rsidP="00AC49E7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3 ปี) </w:t>
      </w:r>
      <w:r w:rsidRPr="00AC49E7">
        <w:rPr>
          <w:rFonts w:ascii="TH SarabunPSK" w:hAnsi="TH SarabunPSK" w:cs="TH SarabunPSK"/>
          <w:spacing w:val="-10"/>
          <w:sz w:val="32"/>
          <w:szCs w:val="32"/>
          <w:cs/>
        </w:rPr>
        <w:tab/>
        <w:t xml:space="preserve">       </w:t>
      </w:r>
    </w:p>
    <w:p w:rsidR="00E459AA" w:rsidRPr="00AC49E7" w:rsidRDefault="00E459AA" w:rsidP="00E459AA">
      <w:pPr>
        <w:spacing w:after="0"/>
        <w:ind w:left="720" w:firstLine="720"/>
        <w:jc w:val="thaiDistribute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C49E7">
        <w:rPr>
          <w:rFonts w:ascii="TH SarabunPSK" w:hAnsi="TH SarabunPSK" w:cs="TH SarabunPSK"/>
          <w:spacing w:val="-8"/>
          <w:sz w:val="32"/>
          <w:szCs w:val="32"/>
          <w:cs/>
        </w:rPr>
        <w:t xml:space="preserve">  (3.1) ด้านปริมาณ แรงงานมีทักษะเพิ่มขึ้น ไม่น้อยกว่าปีละ 2,440 คน</w:t>
      </w:r>
      <w:r w:rsidRPr="00AC49E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C49E7">
        <w:rPr>
          <w:rFonts w:ascii="TH SarabunPSK" w:hAnsi="TH SarabunPSK" w:cs="TH SarabunPSK"/>
          <w:spacing w:val="-8"/>
          <w:sz w:val="32"/>
          <w:szCs w:val="32"/>
          <w:cs/>
        </w:rPr>
        <w:t>รวม 3 ปี จำนวน 7,320 คน</w:t>
      </w:r>
    </w:p>
    <w:p w:rsidR="00E459AA" w:rsidRPr="00AC49E7" w:rsidRDefault="00E459AA" w:rsidP="00E459A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t>และผู้ที่ผ่านการพัฒนามีรายได้เพิ่มขึ้น ไม่น้อยกว่า 500 บาท/วัน (คำนวณจากค่าเฉลี่ยค่าจ้างตามมาตรฐานฝีมือแรงงาน) ซึ่งสูงกว่าค่าแรงงานขั้นต่ำของจังหวัดมุกดาหาร 323 บาท/วัน คาดว่าสามารถเพิ่มมูลค่าทางเศรษฐกิจของจังหวัดมุกดาหารได้ 445.30 ล้านบาท/ปี และเพิ่มผลิตภาพแรงงานร้อยละ 3 ต่อปี</w:t>
      </w:r>
    </w:p>
    <w:p w:rsidR="00E459AA" w:rsidRPr="00AC49E7" w:rsidRDefault="00AC49E7" w:rsidP="00AC49E7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459AA" w:rsidRPr="00AC49E7">
        <w:rPr>
          <w:rFonts w:ascii="TH SarabunPSK" w:hAnsi="TH SarabunPSK" w:cs="TH SarabunPSK"/>
          <w:sz w:val="32"/>
          <w:szCs w:val="32"/>
          <w:cs/>
        </w:rPr>
        <w:t>(3.2) ด้านคุณภาพ ได้แก่ (1) แรงงานในพื้นที่จังหวัดมุกดาหาร สามารถนำความรู้ และทักษะไปใช้ในการประกอบอาชีพและเข้าสู่ระบบการทำงานภาคอุตสาหกรรมต่าง ๆ ได้ตามความสามารถเฉพาะด้าน ทำให้เกิดผลิตภาพแรงงานเพิ่มขึ้น (2) สถานประกอบกิจการในพื้นที่จังหวัดมุกดาหารและพื้นที่ใกล้เคียง เกิดการจ้างงานแรงงานที่มีทักษะสูง และลดการสูญเสียในกระบวนการผลิต (3) ประชาชนได้รับการบริการที่ดีมีคุณภาพ และ (4) ช่วยลดปัญหาการเคลื่อนย้ายแรงงานออกนอกพื้นที่ ลดปัญหาการก่ออาชญากรรมของประเทศ</w:t>
      </w:r>
    </w:p>
    <w:p w:rsidR="00E459AA" w:rsidRPr="00AC49E7" w:rsidRDefault="00E459AA" w:rsidP="00AC49E7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</w:pP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ส่วนที่ 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>2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เหตุผลประกอบการจัดตั้งสถาบันพัฒนาฝีมือแรงงานจังหวัด รายจังหวัด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 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(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>25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จังหวัดเดิม 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>+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>20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 จังหวัดใหม่)</w:t>
      </w:r>
      <w:r w:rsidRPr="00AC49E7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         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E459AA" w:rsidRPr="00AC49E7" w:rsidTr="00AC49E7">
        <w:trPr>
          <w:tblHeader/>
        </w:trPr>
        <w:tc>
          <w:tcPr>
            <w:tcW w:w="1985" w:type="dxa"/>
          </w:tcPr>
          <w:p w:rsidR="00E459AA" w:rsidRPr="00AC49E7" w:rsidRDefault="00E459AA" w:rsidP="00AC49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ทิศทางการพัฒนา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ของจังหวัด/พื้นที่ 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tabs>
                <w:tab w:val="left" w:pos="1012"/>
              </w:tabs>
              <w:spacing w:after="0"/>
              <w:ind w:left="25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AC49E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(1) เพื่อรองรับเขตพัฒนาเศรษฐกิจพิเศษจังหวัดมุกดาหาร เนื่องจากอยู่ในเส้นทางระเบียงเศรษฐกิจแนวตะวันออก-ตะวันตก (</w:t>
            </w:r>
            <w:r w:rsidRPr="00AC49E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East-West Economics Corridor : </w:t>
            </w:r>
            <w:r w:rsidRPr="00AC49E7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EWEC)</w:t>
            </w:r>
            <w:r w:rsidRPr="00AC49E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ได้จัดทำ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 "การพัฒนาทักษะฝีมือด้านการควบคุมกระบวนการผลิตด้วยระบบอัตโนมัติ" เนื่องจากมีครุภัณฑ์และอุปกรณ์การฝึกด้านการควบคุมกระบวนการผลิตด้วยระบบอัตโนมัติ (2) </w:t>
            </w:r>
            <w:r w:rsidRPr="00AC49E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พัฒนาศักยภาพแรงงานด้านโลจิสติกส์เพื่อรองรับการขนสะพานมิตรภาพไทย-ลาวแห่งที่ 2 (ท่าเรือบก) ซึ่งเป็นประตูเชื่อมโยงอาเซียน (3) เพิ่มผลิตภาพแรงงานรองรับโรงงานแปรรูปสินค้าเกษตรที่สำคัญของจังหวัด เช่น อ้อย แป้งมัน และยางพารา เป็นต้น (4) ส่งเสริมเมืองอัจฉริยะมุกดาหาร ดำเนินการ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พัฒนาทักษะฝีมือด้านการควบคุมกระบวนการผลิตด้วยระบบอัตโนมัติ ผ่านเทคโนโลยีชั้นสูง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ได้กำหนดเป้าหมายในการพัฒนาศักยภาพแรงงาน เพื่อสนับสนุนจุดเน้นของจังหวัด </w:t>
            </w:r>
            <w:r w:rsidR="00CD3A3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ด้าน ดังนี้   1) ด้านอุตสาหกรรมการผลิต โดยการพัฒนาเทคโนโลยีชั้นสูงด้วยระบบอัตโนมัติ 2) ด้านโลจิสติกส์ โดยการพัฒนาศักยภาพเรื่องการกระจายสินค้าอัจฉริยะ </w:t>
            </w:r>
            <w:r w:rsidR="00CD3A3A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3) ด้านเทคโนโลยีการเกษตร โดยการควบคุมระบบน้ำอัตโนมัติด้วยสมาร์ทโฟน เทคโนโลยีพลังงานแสงอาทิตย์รองรับเกษตรอัจฉริยะ และการบริหารจัดการตลาดออนไลน์ และ 4) ด้านท่องเที่ยวและบริการ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โดยการให้บริการอย่างมืออาชีพ พนักงานต้อนรับ การบริการที่ประทับใจ และการบริหารจัดการตลาดออนไลน์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tabs>
                <w:tab w:val="left" w:pos="883"/>
                <w:tab w:val="left" w:pos="1025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จากการเป็นผู้ขับเคลื่อนนโยบาย (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Policy Advisor)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โดยการจัดทำแผนพัฒนากำลังแรงงานจังหวัด ภายใต้คณะอนุกรรมการพัฒนาแรงงานและประสานงานการฝึกอาชีพจังหวัด (กพร.ปจ.)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สำนักงานพัฒนาฝีมือแรงงานมุกดาหาร ดำเนินการจัดประชุมเชิงปฏิบัติการจัดทำแผนพัฒนากำลังคน ประจำปีงบประมาณ พ.ศ. 2565-2570 เมื่อวันที่ 27 มกราคม 2565 เพื่อวิเคราะห์ข้อมูลความต้องการด้านแรงงานในพื้นที่ โดยการจัดทำแผนพัฒนากำลังแรงงานจังหวัดมุกดาหาร พ.ศ.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2565 – 2570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ทำให้ทราบถึงความต้องการจำนวนแรงงานราย</w:t>
            </w:r>
            <w:r w:rsidRPr="00AC49E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สาขา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ตามจุดเน้นของจังหวัดมุกดาหาร ได้แก่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ด้านอุตสาหกรรมการผลิต จำนวน 8,244 คน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2)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ด้านอุตสาหกรรมการท่องเที่ยวและบริการ จำนวน 26,350 คน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3)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ด้านอุตสาหกรรมโลจิสติกส์ จำนวน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,300 คน และ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D3A3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4) ด้านอุตสาหกรรมการเกษตรและปศุสัตว์ จำนวน 9,358 คน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 พ.ศ. 2564 มีหน่วยงานภาคการศึกษา 8 แห่ง และหน่วยงานเครือข่ายภาครัฐ 13 แห่ง ได้พัฒนาศักยภาพกำลังแรงงาน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ในด้านต่างๆ เพื่อสนับสนุนภาคธุรกิจและบริการของจังหวัด ดังนี้ (1) ด้านการเกษตร จำนวน 246 คน (2) ด้านอุตสาหกรรม จำนวน 2,090 คน (3) ด้านบริการ จำนวน 1,078 คน (4) ด้านโลจิสติกส์ จำนวน 446 คน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เพื่อรองรับความต้องการกำลังแรงงานในอนาคตจากการจัดทำแผนพัฒนากำลังคนของจังหวัดมุกดาหาร ปี พ.ศ.2565-2570 จึงได้กำหนดหลักสูตรการพัฒนาศักภาพแรงงาน ตามจุดเน้นของจังหวัดมุกดาหาร ดังนี้ (1) อุตสาหกรรมการเกษตรและปศุสัตว์ เช่น การประยุกต์ใช้งาน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IOT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สำหรับการเกษตร การควบคุมระบบน้ำอัตโนมัติด้วย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สมาร์ทโฟน เทคโนโลยีพลังงานแสงอาทิตย์รองรับเกษตรอัจฉริยะ และการบริหารจัดการตลาดออนไลน์ (2) อุตสาหกรรมการผลิต โดยกระดับฝีมือแรงงาน (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Up-skill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) ฟื้นฟูทักษะ (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Re-skill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) ทดสอบมาตรฐานฝีมือแรงงานแห่งชาติ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และรับรองความรู้ความสามารถในสาขาที่อาจเป็นอันตรายต่อสาธารณะ (3) อุตสาหกรรมการท่องเที่ยวและบริการ เช่น การให้บริการอย่างมืออาชีพ พนักงานต้อนรับ การบริการที่ประทับใจ และการบริหารจัดการตลาดออนไลน์ และ (4) อุตสาหกรรมโลจิสติกส์ เช่น เทคนิคการตรวจสอบคุณภาพด้านโลจิสติกส์  การวิเคราะห์และแก้ไขปัญหา (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Problem Solving) 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และหลักสูตรตัวแทนออกของ (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Customs broken)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pStyle w:val="ListParagraph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กลไกที่ทำให้การพัฒนากำลังแรงงาน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ซึ่งต้องอาศัยความร่วมมือในรูปแบบ</w:t>
            </w:r>
            <w:r w:rsidRPr="00AC49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(1) การดำเนินงานของคณะอนุกรรมการพัฒนาแรงงานและประสานงานการฝึกอาชีพจังหวัด (กพร.ปจ.) และ (2) กลไกการบูรณาการทำงานร่วมกับภาครัฐและเอกชน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การดำเนินโครงการ 1 จังหวัด 1 โครงการ</w:t>
            </w:r>
            <w:bookmarkStart w:id="1" w:name="_Hlk95653958"/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“ด้านการพัฒนาทักษะฝีมือด้านการควบคุมกระบวนการผลิตด้วยระบบอัตโนมัติ"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เพื่อสร้างแรงงานคุณภาพสู่ตลาดแรงงาน โดยภาคการศึกษานำนักศึกษาชั้นปีสุดท้ายในระดับประกาศนียบัตรวิชาชีพชั้นสูง และระดับปริญญาตรี เข้าอบรมหลักสูตรเตรียมเข้าทำงาน ประมาณ 2 - 3 เดือน </w:t>
            </w:r>
            <w:bookmarkEnd w:id="1"/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แบ่งการดำเนินงานเป็นสองส่วน ได้แก่ (1) การพัฒนาทักษะฝีมือให้แก่แรงงานตามความต้องการของสถานประกอบกิจการ ซึ่งผู้รับผิดชอบหลัก คือ สำนักงานพัฒนาฝีมือแรงงานมุกดาหาร โดยมีสถาบันการศึกษา เช่น มหาวิทยาลัยนครพนม มหาวิทยาลัยเทคโนโลยีราชมงคลอีสาน วิทยาเขตสกลนคร วิทยาลัยการอาชีพนวมินทราชินีมุกดาหาร และวิทยาลัยชุมชนมุกดาหาร เป็นต้น เป็นหน่วยงานสนับสนุน (2) การพัฒนาด้านทักษะชีวิต โดยมีบริษัท เอ็นเทคโพลิเมอร์ จำกัด และบริษัทนาคิเทค จำกัด เป็นหน่วยงานหลัก และมีหอการค้าจังหวัด สภาอุตสาหกรรมจังหวัด เป็นหน่วยงานสนับสนุน 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7371" w:type="dxa"/>
          </w:tcPr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(ตำแหน่งเดิม)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(11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เดือน) - (3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บาท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42,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459AA" w:rsidRPr="00AC49E7" w:rsidRDefault="00E459AA" w:rsidP="00AC49E7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  <w:r w:rsidRPr="00AC49E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400 บาทต่อปี</w:t>
            </w:r>
          </w:p>
          <w:p w:rsidR="00E459AA" w:rsidRPr="00AC49E7" w:rsidRDefault="00E459AA" w:rsidP="00AC49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 และงบดำเนินงาน ตามที่ได้รับจัดสรร</w:t>
            </w:r>
          </w:p>
        </w:tc>
      </w:tr>
      <w:tr w:rsidR="00E459AA" w:rsidRPr="00AC49E7" w:rsidTr="00AC49E7">
        <w:tc>
          <w:tcPr>
            <w:tcW w:w="1985" w:type="dxa"/>
          </w:tcPr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E459AA" w:rsidRPr="00AC49E7" w:rsidRDefault="00E459AA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1" w:type="dxa"/>
          </w:tcPr>
          <w:p w:rsidR="00E459AA" w:rsidRPr="00AC49E7" w:rsidRDefault="00E459AA" w:rsidP="00AC49E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put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1. แรงงานมีทักษะเพิ่มขึ้น ไม่น้อยกว่าปีละ 2,440 คน</w:t>
            </w:r>
          </w:p>
          <w:p w:rsidR="00E459AA" w:rsidRPr="00AC49E7" w:rsidRDefault="00E459AA" w:rsidP="00AC49E7">
            <w:pPr>
              <w:tabs>
                <w:tab w:val="left" w:pos="127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2. แรงงานที่ผ่านการพัฒนามีรายได้เพิ่มขึ้น ไม่น้อยกว่า 500 บาท/วัน (คำนวณจากค่าเฉลี่ยค่าจ้างตามมาตรฐานฝีมือแรงงาน) ซึ่งสูงกว่าค่าแรงงานขั้นต่ำของจังหวัด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มุกดาหาร 323 บาท/วัน คาดว่าสามารถเพิ่มมูลค่าทางเศรษฐกิจของจังหวัดมุกดาหารได้ 445.30 ล้านบาท/ปี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ผลิตภาพแรงงานเพิ่มขึ้น ร้อยละ 3 ต่อปี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4. สนับสนุนการพัฒนาเพื่อเพิ่มมูลค่าในการขยายตัวด้านเศรษฐกิจของจังหวัดมุกดาหาร ขยายตัวร้อยละ 5.79</w:t>
            </w:r>
          </w:p>
          <w:p w:rsidR="00E459AA" w:rsidRPr="00AC49E7" w:rsidRDefault="00E459AA" w:rsidP="00AC49E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 (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come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แรงงานมีทักษะเพิ่มขึ้น ตรงตามความต้องการของผู้ประกอบการไม่น้อยกว่าร้อยละ 80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2. แรงงานมีรายได้เพิ่มขึ้น ไม่น้อยกว่า 12,000 – 15,000 บาท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ผลิตภาพแรงงานของจังหวัดมุกดาหารเพิ่มขึ้น ไม่น้อยกว่าร้อยละ 2</w:t>
            </w:r>
          </w:p>
          <w:p w:rsidR="00E459AA" w:rsidRPr="00AC49E7" w:rsidRDefault="00E459AA" w:rsidP="00AC49E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 (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Impact</w:t>
            </w:r>
            <w:r w:rsidRPr="00AC4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 ร้อยละ 2</w:t>
            </w:r>
          </w:p>
          <w:p w:rsidR="00E459AA" w:rsidRPr="00AC49E7" w:rsidRDefault="00E459AA" w:rsidP="00AC49E7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>2. ผลิตภัณฑ์มวลรวมของจังหวัดเพิ่มขึ้น ร้อยละ 2</w:t>
            </w:r>
          </w:p>
          <w:p w:rsidR="00E459AA" w:rsidRPr="00AC49E7" w:rsidRDefault="00E459AA" w:rsidP="00AC49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3. ความสามารถในการแข่งขันของจังหวัดมุกดาหารสูงขึ้น 1 อันดับ</w:t>
            </w:r>
          </w:p>
        </w:tc>
      </w:tr>
    </w:tbl>
    <w:p w:rsidR="00E459AA" w:rsidRPr="00AC49E7" w:rsidRDefault="00E459AA" w:rsidP="00E459AA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C49E7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</w:p>
    <w:p w:rsidR="0014220D" w:rsidRPr="00AC49E7" w:rsidRDefault="0014220D">
      <w:pPr>
        <w:rPr>
          <w:rFonts w:ascii="TH SarabunPSK" w:hAnsi="TH SarabunPSK" w:cs="TH SarabunPSK"/>
          <w:sz w:val="32"/>
          <w:szCs w:val="32"/>
        </w:rPr>
      </w:pPr>
    </w:p>
    <w:sectPr w:rsidR="0014220D" w:rsidRPr="00AC49E7" w:rsidSect="00E459AA">
      <w:headerReference w:type="default" r:id="rId7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1D" w:rsidRDefault="00FD591D" w:rsidP="00E459AA">
      <w:pPr>
        <w:spacing w:after="0" w:line="240" w:lineRule="auto"/>
      </w:pPr>
      <w:r>
        <w:separator/>
      </w:r>
    </w:p>
  </w:endnote>
  <w:endnote w:type="continuationSeparator" w:id="0">
    <w:p w:rsidR="00FD591D" w:rsidRDefault="00FD591D" w:rsidP="00E4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1D" w:rsidRDefault="00FD591D" w:rsidP="00E459AA">
      <w:pPr>
        <w:spacing w:after="0" w:line="240" w:lineRule="auto"/>
      </w:pPr>
      <w:r>
        <w:separator/>
      </w:r>
    </w:p>
  </w:footnote>
  <w:footnote w:type="continuationSeparator" w:id="0">
    <w:p w:rsidR="00FD591D" w:rsidRDefault="00FD591D" w:rsidP="00E45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32"/>
      </w:rPr>
      <w:id w:val="2028665577"/>
      <w:docPartObj>
        <w:docPartGallery w:val="Page Numbers (Top of Page)"/>
        <w:docPartUnique/>
      </w:docPartObj>
    </w:sdtPr>
    <w:sdtEndPr>
      <w:rPr>
        <w:noProof/>
      </w:rPr>
    </w:sdtEndPr>
    <w:sdtContent>
      <w:p w:rsidR="00E459AA" w:rsidRPr="00AC49E7" w:rsidRDefault="00AC49E7" w:rsidP="00AC49E7">
        <w:pPr>
          <w:pStyle w:val="Header"/>
          <w:tabs>
            <w:tab w:val="clear" w:pos="4680"/>
            <w:tab w:val="left" w:pos="4400"/>
            <w:tab w:val="center" w:pos="4702"/>
          </w:tabs>
          <w:rPr>
            <w:rFonts w:ascii="TH SarabunPSK" w:hAnsi="TH SarabunPSK" w:cs="TH SarabunPSK"/>
            <w:sz w:val="32"/>
            <w:szCs w:val="32"/>
          </w:rPr>
        </w:pPr>
        <w:r w:rsidRPr="00AC49E7">
          <w:rPr>
            <w:rFonts w:ascii="TH SarabunPSK" w:hAnsi="TH SarabunPSK" w:cs="TH SarabunPSK"/>
            <w:sz w:val="32"/>
            <w:szCs w:val="32"/>
          </w:rPr>
          <w:tab/>
        </w:r>
        <w:r w:rsidRPr="00AC49E7">
          <w:rPr>
            <w:rFonts w:ascii="TH SarabunPSK" w:hAnsi="TH SarabunPSK" w:cs="TH SarabunPSK"/>
            <w:sz w:val="32"/>
            <w:szCs w:val="32"/>
          </w:rPr>
          <w:tab/>
        </w:r>
        <w:r w:rsidR="00E459AA" w:rsidRPr="00AC49E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459AA" w:rsidRPr="00AC49E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E459AA" w:rsidRPr="00AC49E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B2766">
          <w:rPr>
            <w:rFonts w:ascii="TH SarabunPSK" w:hAnsi="TH SarabunPSK" w:cs="TH SarabunPSK"/>
            <w:noProof/>
            <w:sz w:val="32"/>
            <w:szCs w:val="32"/>
          </w:rPr>
          <w:t>4</w:t>
        </w:r>
        <w:r w:rsidR="00E459AA" w:rsidRPr="00AC49E7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E459AA" w:rsidRDefault="00E459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AA"/>
    <w:rsid w:val="0014220D"/>
    <w:rsid w:val="006B2766"/>
    <w:rsid w:val="00AC49E7"/>
    <w:rsid w:val="00CD3A3A"/>
    <w:rsid w:val="00E459AA"/>
    <w:rsid w:val="00F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9AA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9AA"/>
    <w:pPr>
      <w:tabs>
        <w:tab w:val="center" w:pos="4680"/>
        <w:tab w:val="right" w:pos="9360"/>
      </w:tabs>
      <w:spacing w:after="0" w:line="240" w:lineRule="auto"/>
    </w:pPr>
    <w:rPr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459AA"/>
  </w:style>
  <w:style w:type="paragraph" w:styleId="Footer">
    <w:name w:val="footer"/>
    <w:basedOn w:val="Normal"/>
    <w:link w:val="FooterChar"/>
    <w:uiPriority w:val="99"/>
    <w:unhideWhenUsed/>
    <w:rsid w:val="00E459AA"/>
    <w:pPr>
      <w:tabs>
        <w:tab w:val="center" w:pos="4680"/>
        <w:tab w:val="right" w:pos="9360"/>
      </w:tabs>
      <w:spacing w:after="0" w:line="240" w:lineRule="auto"/>
    </w:pPr>
    <w:rPr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459AA"/>
  </w:style>
  <w:style w:type="table" w:styleId="TableGrid">
    <w:name w:val="Table Grid"/>
    <w:basedOn w:val="TableNormal"/>
    <w:uiPriority w:val="39"/>
    <w:rsid w:val="00E459AA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E459AA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E459AA"/>
    <w:rPr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9AA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9AA"/>
    <w:pPr>
      <w:tabs>
        <w:tab w:val="center" w:pos="4680"/>
        <w:tab w:val="right" w:pos="9360"/>
      </w:tabs>
      <w:spacing w:after="0" w:line="240" w:lineRule="auto"/>
    </w:pPr>
    <w:rPr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459AA"/>
  </w:style>
  <w:style w:type="paragraph" w:styleId="Footer">
    <w:name w:val="footer"/>
    <w:basedOn w:val="Normal"/>
    <w:link w:val="FooterChar"/>
    <w:uiPriority w:val="99"/>
    <w:unhideWhenUsed/>
    <w:rsid w:val="00E459AA"/>
    <w:pPr>
      <w:tabs>
        <w:tab w:val="center" w:pos="4680"/>
        <w:tab w:val="right" w:pos="9360"/>
      </w:tabs>
      <w:spacing w:after="0" w:line="240" w:lineRule="auto"/>
    </w:pPr>
    <w:rPr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459AA"/>
  </w:style>
  <w:style w:type="table" w:styleId="TableGrid">
    <w:name w:val="Table Grid"/>
    <w:basedOn w:val="TableNormal"/>
    <w:uiPriority w:val="39"/>
    <w:rsid w:val="00E459AA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E459AA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E459AA"/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4</cp:revision>
  <cp:lastPrinted>2022-02-15T14:20:00Z</cp:lastPrinted>
  <dcterms:created xsi:type="dcterms:W3CDTF">2022-02-15T14:15:00Z</dcterms:created>
  <dcterms:modified xsi:type="dcterms:W3CDTF">2022-02-15T14:20:00Z</dcterms:modified>
</cp:coreProperties>
</file>